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63" w:rsidRDefault="004E0763" w:rsidP="00E70680"/>
    <w:p w:rsidR="009C2F42" w:rsidRDefault="009C2F42" w:rsidP="009C2F42">
      <w:pPr>
        <w:jc w:val="right"/>
      </w:pPr>
      <w:r>
        <w:t>Bydgoszcz,</w:t>
      </w:r>
      <w:r w:rsidR="00A26314">
        <w:t xml:space="preserve"> 01.08</w:t>
      </w:r>
      <w:r w:rsidR="00FF647B">
        <w:t xml:space="preserve"> </w:t>
      </w:r>
      <w:r>
        <w:t>2018r.</w:t>
      </w:r>
    </w:p>
    <w:p w:rsidR="009C2F42" w:rsidRDefault="009C2F42" w:rsidP="009C2F42">
      <w:pPr>
        <w:rPr>
          <w:b/>
        </w:rPr>
      </w:pPr>
    </w:p>
    <w:p w:rsidR="009C2F42" w:rsidRPr="00F169A7" w:rsidRDefault="004E0763" w:rsidP="009C2F42">
      <w:pPr>
        <w:jc w:val="center"/>
        <w:rPr>
          <w:b/>
        </w:rPr>
      </w:pPr>
      <w:r w:rsidRPr="00F169A7">
        <w:rPr>
          <w:b/>
        </w:rPr>
        <w:t>Zaproszenie do udziału w dialogu technicznym</w:t>
      </w:r>
    </w:p>
    <w:p w:rsidR="004E0763" w:rsidRDefault="004E0763" w:rsidP="004E0763">
      <w:pPr>
        <w:jc w:val="both"/>
      </w:pPr>
    </w:p>
    <w:p w:rsidR="004E0763" w:rsidRDefault="004E0763" w:rsidP="0041548D">
      <w:pPr>
        <w:jc w:val="both"/>
      </w:pPr>
      <w:r>
        <w:t xml:space="preserve">Bydgoski </w:t>
      </w:r>
      <w:r w:rsidR="0008211C">
        <w:t>Park Przemysłowo-Technologiczny</w:t>
      </w:r>
      <w:r>
        <w:t xml:space="preserve"> </w:t>
      </w:r>
      <w:r w:rsidR="000D4374">
        <w:t xml:space="preserve">Sp. z o.o. </w:t>
      </w:r>
      <w:r>
        <w:t>prz</w:t>
      </w:r>
      <w:r w:rsidR="004270D3">
        <w:t>ygotowuje się do wszczęcia postę</w:t>
      </w:r>
      <w:r>
        <w:t>powania o udzielenie zamówienia</w:t>
      </w:r>
      <w:r w:rsidR="0008211C">
        <w:t xml:space="preserve"> publicznego</w:t>
      </w:r>
      <w:r>
        <w:t xml:space="preserve"> na wykonan</w:t>
      </w:r>
      <w:r w:rsidR="004024C1">
        <w:t xml:space="preserve">ie i dostawę ekranu dotykowego </w:t>
      </w:r>
      <w:r>
        <w:t>z zabudową.</w:t>
      </w:r>
    </w:p>
    <w:p w:rsidR="004E0763" w:rsidRDefault="004E0763" w:rsidP="0041548D">
      <w:pPr>
        <w:jc w:val="both"/>
      </w:pPr>
      <w:r>
        <w:t>W związku z tym, zapraszamy d</w:t>
      </w:r>
      <w:r w:rsidR="000D4374">
        <w:t>o udziału w dialogu technicznym.</w:t>
      </w:r>
      <w:r>
        <w:t xml:space="preserve"> </w:t>
      </w:r>
      <w:r w:rsidR="000D4374">
        <w:t xml:space="preserve">Celem dialogu </w:t>
      </w:r>
      <w:r>
        <w:t>jest zebranie informacji w zakresie niezbędnym do przygotowania opisu przedmiotu zamówien</w:t>
      </w:r>
      <w:r w:rsidR="0008211C">
        <w:t>ia i określenie warunków umowy dla wykonawcy wybranego w odrębnym postępowaniu.</w:t>
      </w:r>
    </w:p>
    <w:p w:rsidR="00A325E6" w:rsidRDefault="00FF647B" w:rsidP="0041548D">
      <w:pPr>
        <w:jc w:val="both"/>
      </w:pPr>
      <w:r>
        <w:t>Uprzejmie prosimy o p</w:t>
      </w:r>
      <w:r w:rsidR="00A7232A">
        <w:t>rzesłanie</w:t>
      </w:r>
      <w:r w:rsidR="00A325E6">
        <w:t>:</w:t>
      </w:r>
    </w:p>
    <w:p w:rsidR="00A325E6" w:rsidRDefault="000D4374" w:rsidP="00A325E6">
      <w:pPr>
        <w:pStyle w:val="Akapitzlist"/>
        <w:numPr>
          <w:ilvl w:val="0"/>
          <w:numId w:val="21"/>
        </w:numPr>
        <w:jc w:val="both"/>
      </w:pPr>
      <w:r>
        <w:t>istotnych</w:t>
      </w:r>
      <w:r w:rsidR="00A7232A">
        <w:t xml:space="preserve"> uwag, wskazówek,</w:t>
      </w:r>
      <w:r w:rsidR="00683F72">
        <w:t xml:space="preserve"> </w:t>
      </w:r>
      <w:r w:rsidR="008D6C75">
        <w:t>propozycji (odniesienie się do poniższych wytycznych oraz ich uzupełnienie)</w:t>
      </w:r>
    </w:p>
    <w:p w:rsidR="00A325E6" w:rsidRDefault="00A7232A" w:rsidP="00A325E6">
      <w:pPr>
        <w:pStyle w:val="Akapitzlist"/>
        <w:numPr>
          <w:ilvl w:val="0"/>
          <w:numId w:val="21"/>
        </w:numPr>
        <w:jc w:val="both"/>
      </w:pPr>
      <w:r>
        <w:t xml:space="preserve">kosztorysu </w:t>
      </w:r>
      <w:r w:rsidR="0058689A">
        <w:t xml:space="preserve">całego </w:t>
      </w:r>
      <w:r w:rsidR="004209A2">
        <w:t xml:space="preserve">zamówienia </w:t>
      </w:r>
      <w:r w:rsidR="00621350">
        <w:t>(uwzględniającego poniższe wytyczne Zamawiającego oraz</w:t>
      </w:r>
      <w:r w:rsidR="000D4374">
        <w:t xml:space="preserve"> Państwa</w:t>
      </w:r>
      <w:r w:rsidR="00621350">
        <w:t xml:space="preserve"> sugestie</w:t>
      </w:r>
      <w:r w:rsidR="000D4374">
        <w:t>, jako</w:t>
      </w:r>
      <w:r w:rsidR="00621350">
        <w:t xml:space="preserve"> uczestnika dialogu)</w:t>
      </w:r>
      <w:r w:rsidR="0058689A">
        <w:t xml:space="preserve"> </w:t>
      </w:r>
    </w:p>
    <w:p w:rsidR="00A325E6" w:rsidRDefault="00A325E6" w:rsidP="00A325E6">
      <w:pPr>
        <w:pStyle w:val="Akapitzlist"/>
        <w:numPr>
          <w:ilvl w:val="0"/>
          <w:numId w:val="21"/>
        </w:numPr>
        <w:jc w:val="both"/>
      </w:pPr>
      <w:r>
        <w:t>wypełnionego formularza z danymi firmy</w:t>
      </w:r>
    </w:p>
    <w:p w:rsidR="000D4374" w:rsidRDefault="00A7232A" w:rsidP="0041548D">
      <w:pPr>
        <w:jc w:val="both"/>
      </w:pPr>
      <w:r>
        <w:t>do 08</w:t>
      </w:r>
      <w:r w:rsidR="00FF647B">
        <w:t>.08.2018r drogą mailową na adres</w:t>
      </w:r>
      <w:r w:rsidR="00FF647B" w:rsidRPr="0008211C">
        <w:rPr>
          <w:color w:val="000000" w:themeColor="text1"/>
        </w:rPr>
        <w:t xml:space="preserve">: </w:t>
      </w:r>
      <w:hyperlink r:id="rId7" w:history="1">
        <w:r w:rsidR="0008211C" w:rsidRPr="0008211C">
          <w:rPr>
            <w:rStyle w:val="Hipercze"/>
            <w:color w:val="000000" w:themeColor="text1"/>
            <w:u w:val="none"/>
          </w:rPr>
          <w:t>paulina.krol@bppt.pl</w:t>
        </w:r>
      </w:hyperlink>
      <w:r w:rsidR="00FF647B">
        <w:t>.</w:t>
      </w:r>
      <w:r w:rsidR="0008211C">
        <w:t xml:space="preserve"> </w:t>
      </w:r>
    </w:p>
    <w:p w:rsidR="000D4374" w:rsidRDefault="000D4374" w:rsidP="0041548D">
      <w:pPr>
        <w:jc w:val="both"/>
      </w:pPr>
      <w:r>
        <w:t>Prosimy wziąć pod uwagę poniższe wytyczne Zamawiającego.</w:t>
      </w:r>
    </w:p>
    <w:p w:rsidR="0008211C" w:rsidRDefault="00490A84" w:rsidP="0008211C">
      <w:pPr>
        <w:jc w:val="both"/>
      </w:pPr>
      <w:r>
        <w:t>Planowany</w:t>
      </w:r>
      <w:r w:rsidR="0008211C">
        <w:t xml:space="preserve"> łączny</w:t>
      </w:r>
      <w:r>
        <w:t xml:space="preserve"> budże</w:t>
      </w:r>
      <w:r w:rsidR="00FF647B">
        <w:t>t tego zamówienia wynosi 35 000 zł</w:t>
      </w:r>
      <w:r>
        <w:t xml:space="preserve"> netto.</w:t>
      </w:r>
    </w:p>
    <w:p w:rsidR="004209A2" w:rsidRDefault="004209A2" w:rsidP="0008211C">
      <w:pPr>
        <w:jc w:val="both"/>
      </w:pPr>
      <w:r>
        <w:t>Dostawa przedmiotu zamówienia do siedziby Zamawiającego.</w:t>
      </w:r>
      <w:bookmarkStart w:id="0" w:name="_GoBack"/>
      <w:bookmarkEnd w:id="0"/>
    </w:p>
    <w:p w:rsidR="004024C1" w:rsidRDefault="004024C1" w:rsidP="0008211C">
      <w:pPr>
        <w:jc w:val="both"/>
      </w:pPr>
    </w:p>
    <w:p w:rsidR="00E70680" w:rsidRPr="0008211C" w:rsidRDefault="009D38C1" w:rsidP="0008211C">
      <w:pPr>
        <w:pStyle w:val="Akapitzlist"/>
        <w:numPr>
          <w:ilvl w:val="0"/>
          <w:numId w:val="10"/>
        </w:numPr>
        <w:jc w:val="both"/>
        <w:rPr>
          <w:b/>
        </w:rPr>
      </w:pPr>
      <w:r w:rsidRPr="0008211C">
        <w:rPr>
          <w:b/>
        </w:rPr>
        <w:t>Interaktywny s</w:t>
      </w:r>
      <w:r w:rsidR="00E70680" w:rsidRPr="0008211C">
        <w:rPr>
          <w:b/>
        </w:rPr>
        <w:t>tół</w:t>
      </w:r>
      <w:r w:rsidR="00EB0C7D" w:rsidRPr="0008211C">
        <w:rPr>
          <w:b/>
        </w:rPr>
        <w:t>/totem</w:t>
      </w:r>
      <w:r w:rsidR="00E70680" w:rsidRPr="0008211C">
        <w:rPr>
          <w:b/>
        </w:rPr>
        <w:t xml:space="preserve"> z ekranem dotykowym – </w:t>
      </w:r>
      <w:r w:rsidR="00FF647B" w:rsidRPr="0008211C">
        <w:rPr>
          <w:b/>
        </w:rPr>
        <w:t>parametry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sterowanie aplikacją przez dotyk (bez konieczności użycia myszki lub klawiatury);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narzędzie interaktywne;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ekran minimum 45 cali, min rozdzielczość 1920x1080;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kąt nachylenia ekranu pod kątem 0-60 stopni, prosimy o opinię w tej sprawie;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ekran reagujący na dotyk w wielu miejscach;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 xml:space="preserve">możliwość podzielenia konstrukcji na mniejsze elementy (do transportu </w:t>
      </w:r>
      <w:r>
        <w:br/>
        <w:t>i przechowywania);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 xml:space="preserve">złożenie i uruchomienie stołu przez dwie osoby; 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konstrukcja wykonana z trwałego materiału;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elegancka i nowoczesna konstrukcja;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 xml:space="preserve">stabilna konstrukcja; 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urządzenie przygotowane w systemie plug –n-</w:t>
      </w:r>
      <w:proofErr w:type="spellStart"/>
      <w:r>
        <w:t>play</w:t>
      </w:r>
      <w:proofErr w:type="spellEnd"/>
      <w:r>
        <w:t>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lastRenderedPageBreak/>
        <w:t>umieszczenie wszystkich podzespołów, okablowania i komputera we wnętrzu konstrukcji (niewidoczne dla użytkowników); zapewnienie dostępu do komputera w celu serwisu/wymiany;</w:t>
      </w:r>
    </w:p>
    <w:p w:rsidR="0008211C" w:rsidRDefault="0008211C" w:rsidP="008D6C75">
      <w:pPr>
        <w:pStyle w:val="Akapitzlist"/>
        <w:numPr>
          <w:ilvl w:val="0"/>
          <w:numId w:val="11"/>
        </w:numPr>
        <w:jc w:val="both"/>
      </w:pPr>
      <w:r>
        <w:t xml:space="preserve">skrzynia transportowa </w:t>
      </w:r>
      <w:r w:rsidR="008D6C75">
        <w:t xml:space="preserve">(trwała, z wytrzymałego materiału – jaki materiał Państwo sugerujecie?) </w:t>
      </w:r>
      <w:r>
        <w:t>dla konstrukcji i ekranu (transport kołowy po Europie)</w:t>
      </w:r>
      <w:r w:rsidR="008D6C75">
        <w:t xml:space="preserve"> </w:t>
      </w:r>
      <w:r>
        <w:t>– czy wymiary pozwolą na transport w samochodzie osobowym?;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możliwość aktualizacji informacji przez Zamawiającego;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urządzenie wykorzystywane będzie na tar</w:t>
      </w:r>
      <w:r w:rsidR="008D6C75">
        <w:t>gach, konferencjach, wystawach</w:t>
      </w:r>
      <w:r>
        <w:t>;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 xml:space="preserve">możliwość odtwarzania dźwięku przez głośniki zamontowane </w:t>
      </w:r>
      <w:r w:rsidR="004024C1">
        <w:br/>
      </w:r>
      <w:r>
        <w:t xml:space="preserve">w konstrukcji; 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</w:pPr>
      <w:r>
        <w:t>możliwość wyjęcia ekranu i zawieszenia</w:t>
      </w:r>
      <w:r w:rsidR="00AD3F96">
        <w:t xml:space="preserve"> go</w:t>
      </w:r>
      <w:r>
        <w:t xml:space="preserve"> na ścianie; </w:t>
      </w:r>
    </w:p>
    <w:p w:rsidR="0008211C" w:rsidRDefault="0008211C" w:rsidP="0008211C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4A381E">
        <w:rPr>
          <w:color w:val="000000" w:themeColor="text1"/>
        </w:rPr>
        <w:t xml:space="preserve">Opcja - pleksiglas do nałożenia na ekran np. jako zabezpieczenie na noc pomiędzy dniami targowymi. Ewentualnie do szybkiego zdjęcia </w:t>
      </w:r>
      <w:r w:rsidR="004024C1">
        <w:rPr>
          <w:color w:val="000000" w:themeColor="text1"/>
        </w:rPr>
        <w:br/>
      </w:r>
      <w:r w:rsidRPr="004A381E">
        <w:rPr>
          <w:color w:val="000000" w:themeColor="text1"/>
        </w:rPr>
        <w:t>i pokazania oferty klientowi i do nałożenia np. gdy ekran będzie użytkowany podczas targów gdzie będzie dużo dzieci, młodzieży, zabezpieczenie przed „oparciem się” i po</w:t>
      </w:r>
      <w:r>
        <w:rPr>
          <w:color w:val="000000" w:themeColor="text1"/>
        </w:rPr>
        <w:t>p</w:t>
      </w:r>
      <w:r w:rsidRPr="004A381E">
        <w:rPr>
          <w:color w:val="000000" w:themeColor="text1"/>
        </w:rPr>
        <w:t>suciem</w:t>
      </w:r>
      <w:r>
        <w:rPr>
          <w:color w:val="000000" w:themeColor="text1"/>
        </w:rPr>
        <w:t xml:space="preserve">  sprzętu;</w:t>
      </w:r>
    </w:p>
    <w:p w:rsidR="00E70680" w:rsidRDefault="004270D3" w:rsidP="0008211C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Ubezpieczenie przedmiotu zamówienia</w:t>
      </w:r>
      <w:r w:rsidR="0008211C">
        <w:rPr>
          <w:color w:val="000000" w:themeColor="text1"/>
        </w:rPr>
        <w:t>.</w:t>
      </w:r>
    </w:p>
    <w:p w:rsidR="0008211C" w:rsidRPr="0008211C" w:rsidRDefault="0008211C" w:rsidP="0008211C">
      <w:pPr>
        <w:pStyle w:val="Akapitzlist"/>
        <w:ind w:left="1440"/>
        <w:jc w:val="both"/>
        <w:rPr>
          <w:color w:val="000000" w:themeColor="text1"/>
        </w:rPr>
      </w:pPr>
    </w:p>
    <w:p w:rsidR="00E70680" w:rsidRPr="0008211C" w:rsidRDefault="00E70680" w:rsidP="0008211C">
      <w:pPr>
        <w:pStyle w:val="Akapitzlist"/>
        <w:numPr>
          <w:ilvl w:val="0"/>
          <w:numId w:val="10"/>
        </w:numPr>
        <w:jc w:val="both"/>
        <w:rPr>
          <w:b/>
        </w:rPr>
      </w:pPr>
      <w:r w:rsidRPr="0008211C">
        <w:rPr>
          <w:b/>
        </w:rPr>
        <w:t>Komputer</w:t>
      </w:r>
      <w:r w:rsidR="009D38C1" w:rsidRPr="0008211C">
        <w:rPr>
          <w:b/>
        </w:rPr>
        <w:t xml:space="preserve"> pod aplikację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dysk SSD nie mniejszy niż 120 GB (zapewniający płynne użytkowanie);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 xml:space="preserve">3 gniazda USB; 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karta WLAN b/g/n/</w:t>
      </w:r>
      <w:proofErr w:type="spellStart"/>
      <w:r>
        <w:t>nc</w:t>
      </w:r>
      <w:proofErr w:type="spellEnd"/>
      <w:r>
        <w:t>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 xml:space="preserve">zwykła karta sieciowa 10/100/1000 (M </w:t>
      </w:r>
      <w:proofErr w:type="spellStart"/>
      <w:r>
        <w:t>bps</w:t>
      </w:r>
      <w:proofErr w:type="spellEnd"/>
      <w:r>
        <w:t>);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system operacyjny Windows 10 pro;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pilot do obsługi;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klawiatura + mysz w zestawie;</w:t>
      </w:r>
    </w:p>
    <w:p w:rsidR="0008211C" w:rsidRDefault="0008211C" w:rsidP="0008211C">
      <w:pPr>
        <w:pStyle w:val="Akapitzlist"/>
        <w:numPr>
          <w:ilvl w:val="0"/>
          <w:numId w:val="14"/>
        </w:numPr>
        <w:jc w:val="both"/>
      </w:pPr>
      <w:r>
        <w:t>cyfrowe połączenie z monitorem np. HDMI;</w:t>
      </w:r>
    </w:p>
    <w:p w:rsidR="00215710" w:rsidRDefault="0008211C" w:rsidP="0041548D">
      <w:pPr>
        <w:pStyle w:val="Akapitzlist"/>
        <w:numPr>
          <w:ilvl w:val="0"/>
          <w:numId w:val="14"/>
        </w:numPr>
        <w:jc w:val="both"/>
      </w:pPr>
      <w:r>
        <w:t xml:space="preserve">reszta parametrów (procesor, ram </w:t>
      </w:r>
      <w:proofErr w:type="spellStart"/>
      <w:r>
        <w:t>itp</w:t>
      </w:r>
      <w:proofErr w:type="spellEnd"/>
      <w:r>
        <w:t>) dopasowana tak</w:t>
      </w:r>
      <w:r w:rsidR="00AD3F96">
        <w:t>,</w:t>
      </w:r>
      <w:r>
        <w:t xml:space="preserve"> by aplikacja działała płynnie, bez zacięć.</w:t>
      </w:r>
    </w:p>
    <w:p w:rsidR="0008211C" w:rsidRDefault="0008211C" w:rsidP="0008211C">
      <w:pPr>
        <w:pStyle w:val="Akapitzlist"/>
        <w:ind w:left="1440"/>
        <w:jc w:val="both"/>
      </w:pPr>
    </w:p>
    <w:p w:rsidR="004024C1" w:rsidRPr="004024C1" w:rsidRDefault="009D38C1" w:rsidP="004024C1">
      <w:pPr>
        <w:pStyle w:val="Akapitzlist"/>
        <w:numPr>
          <w:ilvl w:val="0"/>
          <w:numId w:val="10"/>
        </w:numPr>
        <w:jc w:val="both"/>
        <w:rPr>
          <w:b/>
        </w:rPr>
      </w:pPr>
      <w:r w:rsidRPr="004024C1">
        <w:rPr>
          <w:b/>
        </w:rPr>
        <w:t>Dedykowana a</w:t>
      </w:r>
      <w:r w:rsidR="00006F12" w:rsidRPr="004024C1">
        <w:rPr>
          <w:b/>
        </w:rPr>
        <w:t xml:space="preserve">plikacja </w:t>
      </w:r>
      <w:r w:rsidRPr="004024C1">
        <w:rPr>
          <w:b/>
        </w:rPr>
        <w:t>zainstalowana na komputerze</w:t>
      </w:r>
    </w:p>
    <w:p w:rsidR="0008211C" w:rsidRDefault="0008211C" w:rsidP="004024C1">
      <w:pPr>
        <w:pStyle w:val="Akapitzlist"/>
        <w:numPr>
          <w:ilvl w:val="0"/>
          <w:numId w:val="17"/>
        </w:numPr>
        <w:jc w:val="both"/>
      </w:pPr>
      <w:r>
        <w:t>zintegrowana ze stołem i komputerem;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ukazanie terenów inwestycyjnych (rozszerzona wersja panoramy </w:t>
      </w:r>
      <w:r>
        <w:br/>
        <w:t xml:space="preserve">z naszej strony </w:t>
      </w:r>
      <w:hyperlink r:id="rId8" w:history="1">
        <w:r w:rsidRPr="007A445D">
          <w:rPr>
            <w:rStyle w:val="Hipercze"/>
            <w:color w:val="000000" w:themeColor="text1"/>
            <w:u w:val="none"/>
          </w:rPr>
          <w:t>https://www.bppt.pl/3d/2017/</w:t>
        </w:r>
      </w:hyperlink>
      <w:r>
        <w:t>) – jakie macie Państwo sugestie i oczekiwania?;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o</w:t>
      </w:r>
      <w:r w:rsidR="00AD3F96">
        <w:t>gólne informacje o P</w:t>
      </w:r>
      <w:r>
        <w:t>arku – propozycja formy prezentacji;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wolne działki oznaczone innym kolorem (po wybraniu działki wyświetlane dane o działce np. wymiary, infrastruktura, uzbrojenie), 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zakładka Inwestorzy (po wybraniu zajętej działki pojawia się informacja </w:t>
      </w:r>
      <w:r>
        <w:br/>
        <w:t>o firmie, działalność, link do strony, podstawowe dane);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oddzielna zakładka z ofertą biurowca Idea Przestrzeń Biznesu (informacje o klientach, oferta salek, biur, szkoleń) -&gt; pokazanie </w:t>
      </w:r>
      <w:r>
        <w:lastRenderedPageBreak/>
        <w:t>informacji ze strony internetowej (</w:t>
      </w:r>
      <w:r w:rsidRPr="00401F51">
        <w:t>https://www.bppt.pl/biurowiec-idea/wynajem-biur/</w:t>
      </w:r>
      <w:r>
        <w:t>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zakładka z halami na wynajem (dane techniczne, rozkład hali, możliwe powierzchnie);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możliwość przejścia na stronę internetową (przeglądarka internetowa);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możliwość wyświetlania plików w formacie PDF (na przykład </w:t>
      </w:r>
      <w:r>
        <w:br/>
      </w:r>
      <w:r w:rsidR="00AD3F96">
        <w:t>z miejscowym planem zagospodarowania p</w:t>
      </w:r>
      <w:r>
        <w:t>rzestrzennego, specyfikacją działek, aktualnymi statystykami dotyczącymi regionu);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możliwość płynnego odtwarzania wyświetlania filmów w rozdzielczości 1080p;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możliwość zrobienia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, załączenia do nowej wiadomości mailowej i wysłania na maila potencjalnego klienta; możliwość dołączenia pliku w formacie PDF ze specyfikacją;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 xml:space="preserve">atrakcje turystyczne – Pokazanie pojedynczych obiektów charakterystycznych dla Bydgoszczy (np. Opera Nova, spichrze, pomnik Łuczniczki, Wyspa Młyńska, pomnik Kazimierza Wielkiego, </w:t>
      </w:r>
      <w:proofErr w:type="spellStart"/>
      <w:r>
        <w:t>Myślęcinek</w:t>
      </w:r>
      <w:proofErr w:type="spellEnd"/>
      <w:r>
        <w:t>, Stadion Zawiszy, Filharmonia Pomorska, Teatr Polsk</w:t>
      </w:r>
      <w:r w:rsidR="008D6C75">
        <w:t xml:space="preserve">i, pomnik Mariana Rejewskiego), </w:t>
      </w:r>
      <w:r>
        <w:t>możliwość do</w:t>
      </w:r>
      <w:r w:rsidR="008D6C75">
        <w:t>dawania nowych atrakcji, paneli</w:t>
      </w:r>
      <w:r>
        <w:t>:</w:t>
      </w:r>
    </w:p>
    <w:p w:rsidR="004024C1" w:rsidRDefault="004024C1" w:rsidP="004024C1">
      <w:pPr>
        <w:pStyle w:val="Akapitzlist"/>
        <w:numPr>
          <w:ilvl w:val="0"/>
          <w:numId w:val="18"/>
        </w:numPr>
        <w:jc w:val="both"/>
      </w:pPr>
      <w:r>
        <w:t>mapa i możliwość wybrania oznaczonych punktów (po wybraniu konkretnego miejsca wyświetla się krótki opis i zdjęcie);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pokazanie BPPT w kontekście miasta Bydgoszczy (położenie, ogólne informacje o mieście, dane o zatrudnieniu</w:t>
      </w:r>
      <w:r w:rsidR="008D6C75">
        <w:t>)</w:t>
      </w:r>
      <w:r>
        <w:t xml:space="preserve">, 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pokazanie korzystnych połączeń drogowych (mapka);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pokazanie komunikacji publicznej;</w:t>
      </w:r>
    </w:p>
    <w:p w:rsidR="004024C1" w:rsidRDefault="004024C1" w:rsidP="004024C1">
      <w:pPr>
        <w:pStyle w:val="Akapitzlist"/>
        <w:numPr>
          <w:ilvl w:val="0"/>
          <w:numId w:val="17"/>
        </w:numPr>
        <w:jc w:val="both"/>
      </w:pPr>
      <w:r>
        <w:t>pokazanie połączeń lotniczych z lotniska w Bydgoszczy;</w:t>
      </w:r>
    </w:p>
    <w:p w:rsidR="00A26314" w:rsidRDefault="004024C1" w:rsidP="00A26314">
      <w:pPr>
        <w:pStyle w:val="Akapitzlist"/>
        <w:numPr>
          <w:ilvl w:val="0"/>
          <w:numId w:val="17"/>
        </w:numPr>
        <w:jc w:val="both"/>
      </w:pPr>
      <w:r>
        <w:t>zakładka przydatne linki;</w:t>
      </w:r>
    </w:p>
    <w:p w:rsidR="000D4374" w:rsidRDefault="004024C1" w:rsidP="000D4374">
      <w:pPr>
        <w:pStyle w:val="Akapitzlist"/>
        <w:numPr>
          <w:ilvl w:val="0"/>
          <w:numId w:val="17"/>
        </w:numPr>
        <w:jc w:val="both"/>
      </w:pPr>
      <w:r>
        <w:t>wersja językowa polska i angielska</w:t>
      </w:r>
      <w:r w:rsidR="00A26314">
        <w:t>;</w:t>
      </w:r>
    </w:p>
    <w:p w:rsidR="000D4374" w:rsidRDefault="000D4374" w:rsidP="000D4374">
      <w:pPr>
        <w:pStyle w:val="Akapitzlist"/>
        <w:numPr>
          <w:ilvl w:val="0"/>
          <w:numId w:val="17"/>
        </w:numPr>
        <w:jc w:val="both"/>
      </w:pPr>
      <w:r>
        <w:t xml:space="preserve">urządzanie zostanie przygotowane zgodnie z </w:t>
      </w:r>
      <w:r w:rsidR="008D6C75">
        <w:rPr>
          <w:rFonts w:cs="Arial"/>
        </w:rPr>
        <w:t>W</w:t>
      </w:r>
      <w:r>
        <w:rPr>
          <w:rFonts w:cs="Arial"/>
        </w:rPr>
        <w:t>ytycznymi</w:t>
      </w:r>
      <w:r w:rsidRPr="000D4374">
        <w:rPr>
          <w:rFonts w:cs="Arial"/>
        </w:rPr>
        <w:t xml:space="preserve"> w zakresie realizacji zasady równości szans i niedyskryminacji, w tym dostępnościami dla osób z niepełnosprawnościami oraz równości szans kobiet i mężczyzn w ramach funduszy unijnych na lata 2014-2020</w:t>
      </w:r>
      <w:r>
        <w:rPr>
          <w:rFonts w:cs="Arial"/>
        </w:rPr>
        <w:t>;</w:t>
      </w:r>
    </w:p>
    <w:p w:rsidR="00A26314" w:rsidRDefault="00A26314" w:rsidP="004024C1">
      <w:pPr>
        <w:pStyle w:val="Akapitzlist"/>
        <w:numPr>
          <w:ilvl w:val="0"/>
          <w:numId w:val="17"/>
        </w:numPr>
        <w:jc w:val="both"/>
      </w:pPr>
      <w:r>
        <w:t>gwarancja –</w:t>
      </w:r>
      <w:r w:rsidR="00AD3F96">
        <w:t xml:space="preserve"> prosimy o określenie na jak długo jest udzielana</w:t>
      </w:r>
      <w:r>
        <w:t>?</w:t>
      </w:r>
    </w:p>
    <w:p w:rsidR="004209A2" w:rsidRDefault="004209A2" w:rsidP="004209A2">
      <w:pPr>
        <w:pStyle w:val="Akapitzlist"/>
        <w:numPr>
          <w:ilvl w:val="0"/>
          <w:numId w:val="17"/>
        </w:numPr>
        <w:jc w:val="both"/>
      </w:pPr>
      <w:r>
        <w:t>termin realizacji całego zamówienia 15.09.2018 – czy uważają Państwo, że jest to termin realny</w:t>
      </w:r>
    </w:p>
    <w:p w:rsidR="009D38C1" w:rsidRDefault="009D38C1" w:rsidP="004024C1">
      <w:pPr>
        <w:ind w:left="1080"/>
        <w:jc w:val="both"/>
      </w:pPr>
    </w:p>
    <w:p w:rsidR="00006F12" w:rsidRDefault="00006F12"/>
    <w:p w:rsidR="002E5296" w:rsidRDefault="002E5296" w:rsidP="002E5296"/>
    <w:p w:rsidR="00242552" w:rsidRDefault="00242552" w:rsidP="00242552"/>
    <w:p w:rsidR="00F025E8" w:rsidRDefault="00F025E8" w:rsidP="002C276A"/>
    <w:p w:rsidR="00DF635A" w:rsidRDefault="00DF635A" w:rsidP="00DF635A">
      <w:pPr>
        <w:pStyle w:val="Akapitzlist"/>
      </w:pPr>
    </w:p>
    <w:p w:rsidR="00492466" w:rsidRDefault="00492466"/>
    <w:sectPr w:rsidR="004924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63" w:rsidRDefault="004E0763" w:rsidP="004E0763">
      <w:pPr>
        <w:spacing w:after="0" w:line="240" w:lineRule="auto"/>
      </w:pPr>
      <w:r>
        <w:separator/>
      </w:r>
    </w:p>
  </w:endnote>
  <w:endnote w:type="continuationSeparator" w:id="0">
    <w:p w:rsidR="004E0763" w:rsidRDefault="004E0763" w:rsidP="004E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63" w:rsidRDefault="004E0763" w:rsidP="004E0763">
      <w:pPr>
        <w:spacing w:after="0" w:line="240" w:lineRule="auto"/>
      </w:pPr>
      <w:r>
        <w:separator/>
      </w:r>
    </w:p>
  </w:footnote>
  <w:footnote w:type="continuationSeparator" w:id="0">
    <w:p w:rsidR="004E0763" w:rsidRDefault="004E0763" w:rsidP="004E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63" w:rsidRDefault="004E0763" w:rsidP="004E0763">
    <w:pPr>
      <w:pStyle w:val="Nagwek"/>
      <w:jc w:val="center"/>
    </w:pPr>
    <w:r w:rsidRPr="00116342">
      <w:rPr>
        <w:rFonts w:ascii="Times New Roman" w:hAnsi="Times New Roman"/>
        <w:noProof/>
        <w:lang w:eastAsia="pl-PL"/>
      </w:rPr>
      <w:drawing>
        <wp:inline distT="0" distB="0" distL="0" distR="0">
          <wp:extent cx="4800600" cy="685800"/>
          <wp:effectExtent l="0" t="0" r="0" b="0"/>
          <wp:docPr id="1" name="Obraz 1" descr="C:\Users\Monika Ignaszczak\AppData\Local\Microsoft\Windows\INetCache\Content.Word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onika Ignaszczak\AppData\Local\Microsoft\Windows\INetCache\Content.Word\poziom_kolo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E40"/>
    <w:multiLevelType w:val="hybridMultilevel"/>
    <w:tmpl w:val="22F8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FA6"/>
    <w:multiLevelType w:val="hybridMultilevel"/>
    <w:tmpl w:val="ED40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617"/>
    <w:multiLevelType w:val="hybridMultilevel"/>
    <w:tmpl w:val="51EEA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22F5"/>
    <w:multiLevelType w:val="hybridMultilevel"/>
    <w:tmpl w:val="A8C2C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A95"/>
    <w:multiLevelType w:val="hybridMultilevel"/>
    <w:tmpl w:val="CD76A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23AC"/>
    <w:multiLevelType w:val="hybridMultilevel"/>
    <w:tmpl w:val="70FA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74AD"/>
    <w:multiLevelType w:val="hybridMultilevel"/>
    <w:tmpl w:val="E6BEB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566D36"/>
    <w:multiLevelType w:val="hybridMultilevel"/>
    <w:tmpl w:val="1F6A9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2E3A"/>
    <w:multiLevelType w:val="hybridMultilevel"/>
    <w:tmpl w:val="5550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36676"/>
    <w:multiLevelType w:val="hybridMultilevel"/>
    <w:tmpl w:val="EE944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05AA1"/>
    <w:multiLevelType w:val="hybridMultilevel"/>
    <w:tmpl w:val="7340EAB6"/>
    <w:lvl w:ilvl="0" w:tplc="06042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02EAF"/>
    <w:multiLevelType w:val="hybridMultilevel"/>
    <w:tmpl w:val="6832B1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83310F"/>
    <w:multiLevelType w:val="hybridMultilevel"/>
    <w:tmpl w:val="C8501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BF76DE"/>
    <w:multiLevelType w:val="hybridMultilevel"/>
    <w:tmpl w:val="E1E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0A0B"/>
    <w:multiLevelType w:val="hybridMultilevel"/>
    <w:tmpl w:val="37CCF4F6"/>
    <w:lvl w:ilvl="0" w:tplc="92B2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2737"/>
    <w:multiLevelType w:val="hybridMultilevel"/>
    <w:tmpl w:val="40DED0F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352D"/>
    <w:multiLevelType w:val="hybridMultilevel"/>
    <w:tmpl w:val="6A6663A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8326D3"/>
    <w:multiLevelType w:val="hybridMultilevel"/>
    <w:tmpl w:val="C71C0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714003"/>
    <w:multiLevelType w:val="hybridMultilevel"/>
    <w:tmpl w:val="EF72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86B31"/>
    <w:multiLevelType w:val="hybridMultilevel"/>
    <w:tmpl w:val="1FA09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2700B2"/>
    <w:multiLevelType w:val="hybridMultilevel"/>
    <w:tmpl w:val="BD2CD4A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7"/>
  </w:num>
  <w:num w:numId="5">
    <w:abstractNumId w:val="1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12"/>
  </w:num>
  <w:num w:numId="12">
    <w:abstractNumId w:val="1"/>
  </w:num>
  <w:num w:numId="13">
    <w:abstractNumId w:val="9"/>
  </w:num>
  <w:num w:numId="14">
    <w:abstractNumId w:val="1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15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12"/>
    <w:rsid w:val="00006F12"/>
    <w:rsid w:val="00012612"/>
    <w:rsid w:val="00040DD0"/>
    <w:rsid w:val="0008211C"/>
    <w:rsid w:val="00090EE0"/>
    <w:rsid w:val="000D4374"/>
    <w:rsid w:val="00112BF5"/>
    <w:rsid w:val="00190711"/>
    <w:rsid w:val="00202370"/>
    <w:rsid w:val="002154BF"/>
    <w:rsid w:val="00215710"/>
    <w:rsid w:val="00220F4F"/>
    <w:rsid w:val="00242552"/>
    <w:rsid w:val="0027011B"/>
    <w:rsid w:val="002C276A"/>
    <w:rsid w:val="002E5296"/>
    <w:rsid w:val="003E35C6"/>
    <w:rsid w:val="00401F51"/>
    <w:rsid w:val="004024C1"/>
    <w:rsid w:val="0041548D"/>
    <w:rsid w:val="004209A2"/>
    <w:rsid w:val="004270D3"/>
    <w:rsid w:val="0047298D"/>
    <w:rsid w:val="00490A84"/>
    <w:rsid w:val="00492466"/>
    <w:rsid w:val="004E0763"/>
    <w:rsid w:val="0056242D"/>
    <w:rsid w:val="00582482"/>
    <w:rsid w:val="0058689A"/>
    <w:rsid w:val="005A00EC"/>
    <w:rsid w:val="00617712"/>
    <w:rsid w:val="00617AE3"/>
    <w:rsid w:val="00621350"/>
    <w:rsid w:val="00662E39"/>
    <w:rsid w:val="00683F72"/>
    <w:rsid w:val="006D34BF"/>
    <w:rsid w:val="0075280D"/>
    <w:rsid w:val="00780BBE"/>
    <w:rsid w:val="007A445D"/>
    <w:rsid w:val="007D7546"/>
    <w:rsid w:val="008D6C75"/>
    <w:rsid w:val="00954374"/>
    <w:rsid w:val="00981F8E"/>
    <w:rsid w:val="009C2F42"/>
    <w:rsid w:val="009D38C1"/>
    <w:rsid w:val="00A26314"/>
    <w:rsid w:val="00A2641B"/>
    <w:rsid w:val="00A31E00"/>
    <w:rsid w:val="00A325E6"/>
    <w:rsid w:val="00A42310"/>
    <w:rsid w:val="00A43FAA"/>
    <w:rsid w:val="00A55EE9"/>
    <w:rsid w:val="00A7232A"/>
    <w:rsid w:val="00A96D85"/>
    <w:rsid w:val="00AA2843"/>
    <w:rsid w:val="00AD3F96"/>
    <w:rsid w:val="00AF2636"/>
    <w:rsid w:val="00B372AE"/>
    <w:rsid w:val="00C00DD6"/>
    <w:rsid w:val="00D13194"/>
    <w:rsid w:val="00D1387F"/>
    <w:rsid w:val="00D20641"/>
    <w:rsid w:val="00D52E56"/>
    <w:rsid w:val="00DF635A"/>
    <w:rsid w:val="00E53EE4"/>
    <w:rsid w:val="00E54398"/>
    <w:rsid w:val="00E70680"/>
    <w:rsid w:val="00E97334"/>
    <w:rsid w:val="00EB0C7D"/>
    <w:rsid w:val="00EB38F2"/>
    <w:rsid w:val="00F025E8"/>
    <w:rsid w:val="00F169A7"/>
    <w:rsid w:val="00F26DC6"/>
    <w:rsid w:val="00F926F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2271B-2B7C-4923-9FEF-3CF61E93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3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8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63"/>
  </w:style>
  <w:style w:type="paragraph" w:styleId="Stopka">
    <w:name w:val="footer"/>
    <w:basedOn w:val="Normalny"/>
    <w:link w:val="StopkaZnak"/>
    <w:uiPriority w:val="99"/>
    <w:unhideWhenUsed/>
    <w:rsid w:val="004E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pt.pl/3d/20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a.krol@bpp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Król</dc:creator>
  <cp:keywords/>
  <dc:description/>
  <cp:lastModifiedBy>Paulina Król</cp:lastModifiedBy>
  <cp:revision>31</cp:revision>
  <cp:lastPrinted>2018-08-01T11:12:00Z</cp:lastPrinted>
  <dcterms:created xsi:type="dcterms:W3CDTF">2018-07-04T13:23:00Z</dcterms:created>
  <dcterms:modified xsi:type="dcterms:W3CDTF">2018-08-01T11:59:00Z</dcterms:modified>
</cp:coreProperties>
</file>